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2DC3" w:rsidRDefault="00032DC3" w:rsidP="0015324A">
      <w:pPr>
        <w:spacing w:line="360" w:lineRule="auto"/>
        <w:ind w:right="-568"/>
        <w:rPr>
          <w:rFonts w:ascii="Ecofont Vera Sans" w:hAnsi="Ecofont Vera Sans"/>
          <w:sz w:val="20"/>
          <w:szCs w:val="20"/>
        </w:rPr>
      </w:pPr>
    </w:p>
    <w:p w:rsidR="00D664AE" w:rsidRPr="00C9182F" w:rsidRDefault="00D664AE" w:rsidP="00D664AE">
      <w:pPr>
        <w:tabs>
          <w:tab w:val="left" w:pos="1418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sz w:val="16"/>
          <w:szCs w:val="16"/>
          <w:lang w:eastAsia="pt-BR"/>
        </w:rPr>
      </w:pPr>
      <w:r>
        <w:rPr>
          <w:rFonts w:ascii="Arial" w:hAnsi="Arial" w:cs="Arial"/>
          <w:b/>
          <w:lang w:eastAsia="pt-BR"/>
        </w:rPr>
        <w:t>MEMORANDO</w:t>
      </w:r>
      <w:r w:rsidRPr="00C9182F">
        <w:rPr>
          <w:rFonts w:ascii="Arial" w:hAnsi="Arial" w:cs="Arial"/>
          <w:b/>
          <w:lang w:eastAsia="pt-BR"/>
        </w:rPr>
        <w:t xml:space="preserve"> Nº </w:t>
      </w:r>
      <w:r w:rsidRPr="00C9182F">
        <w:rPr>
          <w:rFonts w:ascii="Arial" w:hAnsi="Arial" w:cs="Arial"/>
          <w:b/>
          <w:color w:val="FF0000"/>
          <w:lang w:eastAsia="pt-BR"/>
        </w:rPr>
        <w:t>[Numeração]</w:t>
      </w:r>
      <w:r w:rsidRPr="00C9182F">
        <w:rPr>
          <w:rFonts w:ascii="Arial" w:hAnsi="Arial" w:cs="Arial"/>
          <w:b/>
          <w:color w:val="000000"/>
          <w:lang w:eastAsia="pt-BR"/>
        </w:rPr>
        <w:t xml:space="preserve"> / </w:t>
      </w:r>
      <w:r w:rsidRPr="00C9182F">
        <w:rPr>
          <w:rFonts w:ascii="Arial" w:hAnsi="Arial" w:cs="Arial"/>
          <w:b/>
          <w:color w:val="FF0000"/>
          <w:lang w:eastAsia="pt-BR"/>
        </w:rPr>
        <w:t>[Ano] - [SIGLA]</w:t>
      </w:r>
      <w:r w:rsidRPr="00C9182F">
        <w:rPr>
          <w:rFonts w:ascii="Arial" w:hAnsi="Arial" w:cs="Arial"/>
          <w:b/>
          <w:color w:val="000000"/>
          <w:lang w:eastAsia="pt-BR"/>
        </w:rPr>
        <w:t xml:space="preserve">. </w:t>
      </w:r>
      <w:r w:rsidRPr="00C9182F">
        <w:rPr>
          <w:rFonts w:ascii="Arial" w:hAnsi="Arial" w:cs="Arial"/>
          <w:b/>
          <w:color w:val="8496B0"/>
          <w:sz w:val="16"/>
          <w:szCs w:val="16"/>
          <w:lang w:eastAsia="pt-BR"/>
        </w:rPr>
        <w:t>(NEGRITO)</w:t>
      </w:r>
    </w:p>
    <w:p w:rsidR="00D664AE" w:rsidRPr="00C9182F" w:rsidRDefault="00D664AE" w:rsidP="00D664AE">
      <w:pPr>
        <w:tabs>
          <w:tab w:val="left" w:pos="1418"/>
        </w:tabs>
        <w:autoSpaceDE w:val="0"/>
        <w:autoSpaceDN w:val="0"/>
        <w:adjustRightInd w:val="0"/>
        <w:contextualSpacing/>
        <w:jc w:val="right"/>
        <w:rPr>
          <w:rFonts w:ascii="Arial" w:hAnsi="Arial" w:cs="Arial"/>
          <w:lang w:eastAsia="pt-BR"/>
        </w:rPr>
      </w:pPr>
      <w:r w:rsidRPr="00C9182F">
        <w:rPr>
          <w:rFonts w:ascii="Arial" w:hAnsi="Arial" w:cs="Arial"/>
          <w:color w:val="000000"/>
          <w:lang w:eastAsia="pt-BR"/>
        </w:rPr>
        <w:t xml:space="preserve">Goiânia, </w:t>
      </w:r>
      <w:r w:rsidRPr="00C9182F">
        <w:rPr>
          <w:rFonts w:ascii="Arial" w:hAnsi="Arial" w:cs="Arial"/>
          <w:b/>
          <w:color w:val="FF0000"/>
          <w:lang w:eastAsia="pt-BR"/>
        </w:rPr>
        <w:t>[Data por extenso]</w:t>
      </w:r>
      <w:r w:rsidRPr="00C9182F">
        <w:rPr>
          <w:rFonts w:ascii="Arial" w:hAnsi="Arial" w:cs="Arial"/>
          <w:lang w:eastAsia="pt-BR"/>
        </w:rPr>
        <w:t>.</w:t>
      </w:r>
    </w:p>
    <w:p w:rsidR="00D664AE" w:rsidRDefault="00D664AE" w:rsidP="005F7393">
      <w:pPr>
        <w:spacing w:after="0" w:line="360" w:lineRule="auto"/>
        <w:ind w:right="-568"/>
        <w:rPr>
          <w:rFonts w:ascii="Ecofont Vera Sans" w:hAnsi="Ecofont Vera Sans"/>
          <w:sz w:val="20"/>
          <w:szCs w:val="20"/>
        </w:rPr>
      </w:pPr>
    </w:p>
    <w:p w:rsidR="00D664AE" w:rsidRDefault="00D664AE" w:rsidP="005F7393">
      <w:pPr>
        <w:spacing w:after="0" w:line="360" w:lineRule="auto"/>
        <w:ind w:right="-568"/>
        <w:rPr>
          <w:rFonts w:ascii="Ecofont Vera Sans" w:hAnsi="Ecofont Vera Sans"/>
          <w:sz w:val="20"/>
          <w:szCs w:val="20"/>
        </w:rPr>
      </w:pPr>
    </w:p>
    <w:p w:rsidR="003835CA" w:rsidRPr="00D664AE" w:rsidRDefault="003835CA" w:rsidP="00D664AE">
      <w:pPr>
        <w:spacing w:after="0" w:line="360" w:lineRule="auto"/>
        <w:ind w:right="-1"/>
        <w:rPr>
          <w:rFonts w:ascii="Arial" w:hAnsi="Arial" w:cs="Arial"/>
          <w:b/>
        </w:rPr>
      </w:pPr>
      <w:r w:rsidRPr="00D664AE">
        <w:rPr>
          <w:rFonts w:ascii="Arial" w:hAnsi="Arial" w:cs="Arial"/>
          <w:b/>
        </w:rPr>
        <w:t>Ao</w:t>
      </w:r>
      <w:r w:rsidR="00D664AE" w:rsidRPr="00D664AE">
        <w:rPr>
          <w:rFonts w:ascii="Arial" w:hAnsi="Arial" w:cs="Arial"/>
          <w:b/>
        </w:rPr>
        <w:t xml:space="preserve"> </w:t>
      </w:r>
      <w:r w:rsidR="00D27930" w:rsidRPr="00D664AE">
        <w:rPr>
          <w:rFonts w:ascii="Arial" w:hAnsi="Arial" w:cs="Arial"/>
          <w:b/>
        </w:rPr>
        <w:t>Gabinete do Conselheiro</w:t>
      </w:r>
      <w:r w:rsidRPr="00D664AE">
        <w:rPr>
          <w:rFonts w:ascii="Arial" w:hAnsi="Arial" w:cs="Arial"/>
          <w:b/>
        </w:rPr>
        <w:t xml:space="preserve"> </w:t>
      </w:r>
      <w:r w:rsidR="003C7857" w:rsidRPr="00D664AE">
        <w:rPr>
          <w:rFonts w:ascii="Arial" w:hAnsi="Arial" w:cs="Arial"/>
          <w:b/>
          <w:color w:val="FF0000"/>
        </w:rPr>
        <w:t>XXXXXXXXXXXXXXXX</w:t>
      </w:r>
    </w:p>
    <w:p w:rsidR="00346366" w:rsidRPr="00D664AE" w:rsidRDefault="000A33FA" w:rsidP="00346366">
      <w:pPr>
        <w:spacing w:after="0" w:line="360" w:lineRule="auto"/>
        <w:ind w:right="-568"/>
        <w:rPr>
          <w:rFonts w:ascii="Arial" w:hAnsi="Arial" w:cs="Arial"/>
          <w:b/>
          <w:color w:val="FF0000"/>
        </w:rPr>
      </w:pPr>
      <w:r w:rsidRPr="00D664AE">
        <w:rPr>
          <w:rFonts w:ascii="Arial" w:hAnsi="Arial" w:cs="Arial"/>
          <w:b/>
        </w:rPr>
        <w:t>Assunto:</w:t>
      </w:r>
      <w:r w:rsidR="002F4D90" w:rsidRPr="00D664AE">
        <w:rPr>
          <w:rFonts w:ascii="Arial" w:hAnsi="Arial" w:cs="Arial"/>
          <w:b/>
        </w:rPr>
        <w:t xml:space="preserve"> </w:t>
      </w:r>
      <w:r w:rsidR="00967043">
        <w:rPr>
          <w:rFonts w:ascii="Arial" w:hAnsi="Arial" w:cs="Arial"/>
          <w:b/>
        </w:rPr>
        <w:t>Composição Comitê Consulto</w:t>
      </w:r>
      <w:bookmarkStart w:id="0" w:name="_GoBack"/>
      <w:bookmarkEnd w:id="0"/>
      <w:r w:rsidR="00967043">
        <w:rPr>
          <w:rFonts w:ascii="Arial" w:hAnsi="Arial" w:cs="Arial"/>
          <w:b/>
        </w:rPr>
        <w:t xml:space="preserve">r </w:t>
      </w:r>
    </w:p>
    <w:p w:rsidR="00346366" w:rsidRPr="00D664AE" w:rsidRDefault="00346366" w:rsidP="00346366">
      <w:pPr>
        <w:spacing w:after="0" w:line="360" w:lineRule="auto"/>
        <w:rPr>
          <w:rFonts w:ascii="Arial" w:hAnsi="Arial" w:cs="Arial"/>
        </w:rPr>
      </w:pPr>
      <w:r w:rsidRPr="00D664AE">
        <w:rPr>
          <w:rFonts w:ascii="Arial" w:hAnsi="Arial" w:cs="Arial"/>
        </w:rPr>
        <w:tab/>
        <w:t xml:space="preserve"> </w:t>
      </w:r>
    </w:p>
    <w:p w:rsidR="00DD3B30" w:rsidRPr="005E3F47" w:rsidRDefault="00346366" w:rsidP="00624B6C">
      <w:pPr>
        <w:pStyle w:val="PargrafodaLista"/>
        <w:numPr>
          <w:ilvl w:val="0"/>
          <w:numId w:val="2"/>
        </w:numPr>
        <w:spacing w:before="120" w:after="120"/>
        <w:ind w:left="0" w:firstLine="709"/>
        <w:contextualSpacing w:val="0"/>
        <w:jc w:val="both"/>
        <w:rPr>
          <w:rFonts w:ascii="Arial" w:hAnsi="Arial" w:cs="Arial"/>
          <w:i/>
          <w:color w:val="FF0000"/>
        </w:rPr>
      </w:pPr>
      <w:r w:rsidRPr="00D664AE">
        <w:rPr>
          <w:rFonts w:ascii="Arial" w:hAnsi="Arial" w:cs="Arial"/>
        </w:rPr>
        <w:t xml:space="preserve"> </w:t>
      </w:r>
      <w:r w:rsidR="00650FE8">
        <w:rPr>
          <w:rFonts w:ascii="Arial" w:hAnsi="Arial" w:cs="Arial"/>
        </w:rPr>
        <w:t>O Comitê Consultor é uma estrutura prevista na</w:t>
      </w:r>
      <w:r w:rsidR="00967043">
        <w:rPr>
          <w:rFonts w:ascii="Arial" w:hAnsi="Arial" w:cs="Arial"/>
        </w:rPr>
        <w:t xml:space="preserve"> NBASP 9020 – Avaliação de Políticas Públicas e </w:t>
      </w:r>
      <w:r w:rsidR="00650FE8">
        <w:rPr>
          <w:rFonts w:ascii="Arial" w:hAnsi="Arial" w:cs="Arial"/>
        </w:rPr>
        <w:t>na</w:t>
      </w:r>
      <w:r w:rsidR="00967043">
        <w:rPr>
          <w:rFonts w:ascii="Arial" w:hAnsi="Arial" w:cs="Arial"/>
        </w:rPr>
        <w:t xml:space="preserve"> Resolução Normativa nº 02/2024 desta Corte de Contas</w:t>
      </w:r>
      <w:r w:rsidR="005E3F47">
        <w:rPr>
          <w:rFonts w:ascii="Arial" w:hAnsi="Arial" w:cs="Arial"/>
        </w:rPr>
        <w:t xml:space="preserve">, </w:t>
      </w:r>
      <w:r w:rsidR="00650FE8">
        <w:rPr>
          <w:rFonts w:ascii="Arial" w:hAnsi="Arial" w:cs="Arial"/>
        </w:rPr>
        <w:t>que tem como finalidade colaborar com a equipe designada no processo de Avaliação de Políticas Públicas. O art. 10 da referida norma</w:t>
      </w:r>
      <w:r w:rsidR="005E3F47" w:rsidRPr="00650FE8">
        <w:rPr>
          <w:rFonts w:ascii="Arial" w:hAnsi="Arial" w:cs="Arial"/>
        </w:rPr>
        <w:t xml:space="preserve"> estabelece o dever de avaliar, na fase de planejame</w:t>
      </w:r>
      <w:r w:rsidR="005E3F47">
        <w:rPr>
          <w:rFonts w:ascii="Arial" w:hAnsi="Arial" w:cs="Arial"/>
        </w:rPr>
        <w:t>nto da Avaliação de Política Pública, a viabilidade da constituição do Comitê Consultor</w:t>
      </w:r>
      <w:r w:rsidR="00604FBB">
        <w:rPr>
          <w:rFonts w:ascii="Arial" w:hAnsi="Arial" w:cs="Arial"/>
        </w:rPr>
        <w:t>,</w:t>
      </w:r>
      <w:r w:rsidR="005E3F47">
        <w:rPr>
          <w:rFonts w:ascii="Arial" w:hAnsi="Arial" w:cs="Arial"/>
        </w:rPr>
        <w:t xml:space="preserve"> de </w:t>
      </w:r>
      <w:r w:rsidR="005E3F47" w:rsidRPr="005E3F47">
        <w:rPr>
          <w:rFonts w:ascii="Arial" w:hAnsi="Arial" w:cs="Arial"/>
        </w:rPr>
        <w:t>caráter consultivo, opinativo, cooperativo, voluntário, temporário e facultativo</w:t>
      </w:r>
      <w:r w:rsidR="00650FE8">
        <w:rPr>
          <w:rFonts w:ascii="Arial" w:hAnsi="Arial" w:cs="Arial"/>
        </w:rPr>
        <w:t>.</w:t>
      </w:r>
    </w:p>
    <w:p w:rsidR="009D0ED0" w:rsidRPr="009D0ED0" w:rsidRDefault="00346366" w:rsidP="00624B6C">
      <w:pPr>
        <w:pStyle w:val="PargrafodaLista"/>
        <w:numPr>
          <w:ilvl w:val="0"/>
          <w:numId w:val="2"/>
        </w:numPr>
        <w:spacing w:before="120" w:after="120"/>
        <w:ind w:left="0" w:firstLine="709"/>
        <w:contextualSpacing w:val="0"/>
        <w:jc w:val="both"/>
        <w:rPr>
          <w:rFonts w:ascii="Arial" w:hAnsi="Arial" w:cs="Arial"/>
          <w:color w:val="FF0000"/>
        </w:rPr>
      </w:pPr>
      <w:r w:rsidRPr="002E5F64">
        <w:rPr>
          <w:rFonts w:ascii="Arial" w:hAnsi="Arial" w:cs="Arial"/>
        </w:rPr>
        <w:t xml:space="preserve">Assim sendo, </w:t>
      </w:r>
      <w:r w:rsidR="009348FC" w:rsidRPr="002E5F64">
        <w:rPr>
          <w:rFonts w:ascii="Arial" w:hAnsi="Arial" w:cs="Arial"/>
        </w:rPr>
        <w:t>informamos</w:t>
      </w:r>
      <w:r w:rsidRPr="002E5F64">
        <w:rPr>
          <w:rFonts w:ascii="Arial" w:hAnsi="Arial" w:cs="Arial"/>
        </w:rPr>
        <w:t xml:space="preserve"> </w:t>
      </w:r>
      <w:r w:rsidR="00650FE8">
        <w:rPr>
          <w:rFonts w:ascii="Arial" w:hAnsi="Arial" w:cs="Arial"/>
        </w:rPr>
        <w:t>a esta</w:t>
      </w:r>
      <w:r w:rsidRPr="002E5F64">
        <w:rPr>
          <w:rFonts w:ascii="Arial" w:hAnsi="Arial" w:cs="Arial"/>
        </w:rPr>
        <w:t xml:space="preserve"> Relatoria </w:t>
      </w:r>
      <w:r w:rsidR="009348FC" w:rsidRPr="002E5F64">
        <w:rPr>
          <w:rFonts w:ascii="Arial" w:hAnsi="Arial" w:cs="Arial"/>
        </w:rPr>
        <w:t xml:space="preserve">que </w:t>
      </w:r>
      <w:r w:rsidR="00650FE8">
        <w:rPr>
          <w:rFonts w:ascii="Arial" w:hAnsi="Arial" w:cs="Arial"/>
        </w:rPr>
        <w:t xml:space="preserve">a equipe designada pela Portaria </w:t>
      </w:r>
      <w:r w:rsidR="0002034A" w:rsidRPr="0002034A">
        <w:rPr>
          <w:rFonts w:ascii="Arial" w:hAnsi="Arial" w:cs="Arial"/>
          <w:color w:val="FF0000"/>
        </w:rPr>
        <w:t>[nº/ano]</w:t>
      </w:r>
      <w:r w:rsidR="00650FE8" w:rsidRPr="0002034A">
        <w:rPr>
          <w:rFonts w:ascii="Arial" w:hAnsi="Arial" w:cs="Arial"/>
          <w:color w:val="FF0000"/>
        </w:rPr>
        <w:t xml:space="preserve"> </w:t>
      </w:r>
      <w:r w:rsidR="00650FE8">
        <w:rPr>
          <w:rFonts w:ascii="Arial" w:hAnsi="Arial" w:cs="Arial"/>
        </w:rPr>
        <w:t xml:space="preserve">para realização da Avaliação </w:t>
      </w:r>
      <w:r w:rsidR="0002034A">
        <w:rPr>
          <w:rFonts w:ascii="Arial" w:hAnsi="Arial" w:cs="Arial"/>
        </w:rPr>
        <w:t xml:space="preserve">na Política </w:t>
      </w:r>
      <w:r w:rsidR="0002034A" w:rsidRPr="0002034A">
        <w:rPr>
          <w:rFonts w:ascii="Arial" w:hAnsi="Arial" w:cs="Arial"/>
          <w:color w:val="FF0000"/>
        </w:rPr>
        <w:t>[objeto da Avaliação]</w:t>
      </w:r>
      <w:r w:rsidR="0002034A">
        <w:rPr>
          <w:rFonts w:ascii="Arial" w:hAnsi="Arial" w:cs="Arial"/>
        </w:rPr>
        <w:t xml:space="preserve"> entende pertinente a constituição do Comitê Consultor </w:t>
      </w:r>
      <w:r w:rsidR="0002034A" w:rsidRPr="0002034A">
        <w:rPr>
          <w:rFonts w:ascii="Arial" w:hAnsi="Arial" w:cs="Arial"/>
          <w:color w:val="FF0000"/>
        </w:rPr>
        <w:t>[justificar, caso não entenda pertinente a constituição do comitê]</w:t>
      </w:r>
      <w:r w:rsidR="0002034A">
        <w:rPr>
          <w:rFonts w:ascii="Arial" w:hAnsi="Arial" w:cs="Arial"/>
        </w:rPr>
        <w:t xml:space="preserve">. </w:t>
      </w:r>
      <w:bookmarkStart w:id="1" w:name="_Hlk30515489"/>
    </w:p>
    <w:p w:rsidR="009D0ED0" w:rsidRDefault="0002034A" w:rsidP="005C3E98">
      <w:pPr>
        <w:pStyle w:val="PargrafodaLista"/>
        <w:numPr>
          <w:ilvl w:val="0"/>
          <w:numId w:val="2"/>
        </w:numPr>
        <w:spacing w:before="120" w:after="120"/>
        <w:ind w:left="0" w:firstLine="709"/>
        <w:contextualSpacing w:val="0"/>
        <w:jc w:val="both"/>
        <w:rPr>
          <w:rFonts w:ascii="Arial" w:hAnsi="Arial" w:cs="Arial"/>
        </w:rPr>
      </w:pPr>
      <w:r w:rsidRPr="009D0ED0">
        <w:rPr>
          <w:rFonts w:ascii="Arial" w:hAnsi="Arial" w:cs="Arial"/>
        </w:rPr>
        <w:t>Nesse sentido, encaminhamos em anexo</w:t>
      </w:r>
      <w:r w:rsidR="009D0ED0" w:rsidRPr="009D0ED0">
        <w:rPr>
          <w:rFonts w:ascii="Arial" w:hAnsi="Arial" w:cs="Arial"/>
        </w:rPr>
        <w:t>, para deliberação superior,</w:t>
      </w:r>
      <w:r w:rsidRPr="009D0ED0">
        <w:rPr>
          <w:rFonts w:ascii="Arial" w:hAnsi="Arial" w:cs="Arial"/>
        </w:rPr>
        <w:t xml:space="preserve"> Minuta da Portaria com sugestão de nomes para composição do Comitê Consultor</w:t>
      </w:r>
      <w:r w:rsidR="009D0ED0" w:rsidRPr="009D0ED0">
        <w:rPr>
          <w:rFonts w:ascii="Arial" w:hAnsi="Arial" w:cs="Arial"/>
        </w:rPr>
        <w:t>, a qual</w:t>
      </w:r>
      <w:bookmarkEnd w:id="1"/>
      <w:r w:rsidR="009D0ED0">
        <w:rPr>
          <w:rFonts w:ascii="Arial" w:hAnsi="Arial" w:cs="Arial"/>
        </w:rPr>
        <w:t xml:space="preserve"> deve ser encaminhada à Presidência para convite oficial aos possíveis integrantes e posterior emissão da Portaria de composição do Comitê.</w:t>
      </w:r>
    </w:p>
    <w:p w:rsidR="00346366" w:rsidRPr="009D0ED0" w:rsidRDefault="00346366" w:rsidP="005C3E98">
      <w:pPr>
        <w:pStyle w:val="PargrafodaLista"/>
        <w:numPr>
          <w:ilvl w:val="0"/>
          <w:numId w:val="2"/>
        </w:numPr>
        <w:spacing w:before="120" w:after="120"/>
        <w:ind w:left="0" w:firstLine="709"/>
        <w:contextualSpacing w:val="0"/>
        <w:jc w:val="both"/>
        <w:rPr>
          <w:rFonts w:ascii="Arial" w:hAnsi="Arial" w:cs="Arial"/>
        </w:rPr>
      </w:pPr>
      <w:r w:rsidRPr="009D0ED0">
        <w:rPr>
          <w:rFonts w:ascii="Arial" w:hAnsi="Arial" w:cs="Arial"/>
        </w:rPr>
        <w:t>Destarte, colocamo-nos à disposição para os esclarecimentos que se fizerem necessários.</w:t>
      </w:r>
    </w:p>
    <w:p w:rsidR="00401A49" w:rsidRDefault="00401A49" w:rsidP="00401A49">
      <w:pPr>
        <w:spacing w:after="0" w:line="360" w:lineRule="auto"/>
        <w:jc w:val="both"/>
        <w:rPr>
          <w:rFonts w:ascii="Ecofont Vera Sans" w:hAnsi="Ecofont Vera Sans"/>
          <w:sz w:val="20"/>
          <w:szCs w:val="20"/>
        </w:rPr>
      </w:pPr>
    </w:p>
    <w:p w:rsidR="00D664AE" w:rsidRDefault="00D664AE" w:rsidP="00D664AE">
      <w:pPr>
        <w:tabs>
          <w:tab w:val="left" w:pos="1418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color w:val="FF0000"/>
          <w:lang w:eastAsia="pt-BR"/>
        </w:rPr>
      </w:pPr>
      <w:r>
        <w:rPr>
          <w:rFonts w:ascii="Arial" w:hAnsi="Arial" w:cs="Arial"/>
          <w:color w:val="FF0000"/>
          <w:lang w:eastAsia="pt-BR"/>
        </w:rPr>
        <w:tab/>
      </w:r>
    </w:p>
    <w:p w:rsidR="00D664AE" w:rsidRDefault="00D664AE" w:rsidP="00D664AE">
      <w:pPr>
        <w:tabs>
          <w:tab w:val="left" w:pos="1418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lang w:eastAsia="pt-BR"/>
        </w:rPr>
      </w:pPr>
      <w:r>
        <w:rPr>
          <w:rFonts w:ascii="Arial" w:hAnsi="Arial" w:cs="Arial"/>
          <w:color w:val="FF0000"/>
          <w:lang w:eastAsia="pt-BR"/>
        </w:rPr>
        <w:tab/>
      </w:r>
      <w:r w:rsidRPr="00C9182F">
        <w:rPr>
          <w:rFonts w:ascii="Arial" w:hAnsi="Arial" w:cs="Arial"/>
          <w:color w:val="FF0000"/>
          <w:lang w:eastAsia="pt-BR"/>
        </w:rPr>
        <w:t>[Atenciosamente/Respeitosamente]</w:t>
      </w:r>
      <w:r w:rsidRPr="00C9182F">
        <w:rPr>
          <w:rFonts w:ascii="Arial" w:hAnsi="Arial" w:cs="Arial"/>
          <w:lang w:eastAsia="pt-BR"/>
        </w:rPr>
        <w:t>,</w:t>
      </w:r>
    </w:p>
    <w:p w:rsidR="00D664AE" w:rsidRPr="00B63900" w:rsidRDefault="00D664AE" w:rsidP="00D664AE">
      <w:pPr>
        <w:rPr>
          <w:rFonts w:ascii="Arial" w:eastAsia="Calibri" w:hAnsi="Arial" w:cs="Arial"/>
          <w:bCs/>
        </w:rPr>
      </w:pPr>
      <w:r w:rsidRPr="00B63900">
        <w:rPr>
          <w:rFonts w:ascii="Arial" w:eastAsia="Calibri" w:hAnsi="Arial" w:cs="Arial"/>
          <w:bCs/>
        </w:rPr>
        <w:t xml:space="preserve">               </w:t>
      </w:r>
    </w:p>
    <w:p w:rsidR="00D664AE" w:rsidRPr="00B63900" w:rsidRDefault="00D664AE" w:rsidP="00D664AE">
      <w:pPr>
        <w:jc w:val="center"/>
        <w:rPr>
          <w:rFonts w:ascii="Arial" w:eastAsia="Calibri" w:hAnsi="Arial" w:cs="Arial"/>
          <w:bCs/>
          <w:color w:val="FF0000"/>
        </w:rPr>
      </w:pPr>
    </w:p>
    <w:p w:rsidR="00D664AE" w:rsidRDefault="00272EAB" w:rsidP="00D664AE">
      <w:pPr>
        <w:jc w:val="center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pict>
          <v:rect id="_x0000_i1025" style="width:225.9pt;height:.05pt" o:hrpct="498" o:hralign="center" o:hrstd="t" o:hr="t" fillcolor="#a0a0a0" stroked="f"/>
        </w:pict>
      </w:r>
    </w:p>
    <w:p w:rsidR="00D664AE" w:rsidRPr="0028535A" w:rsidRDefault="0002034A" w:rsidP="00D664AE">
      <w:pPr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 xml:space="preserve">Coordenador </w:t>
      </w:r>
    </w:p>
    <w:p w:rsidR="00D664AE" w:rsidRPr="00B63900" w:rsidRDefault="00D664AE" w:rsidP="00D664AE">
      <w:pPr>
        <w:tabs>
          <w:tab w:val="left" w:pos="3686"/>
        </w:tabs>
        <w:jc w:val="center"/>
        <w:rPr>
          <w:rFonts w:ascii="Arial" w:hAnsi="Arial" w:cs="Arial"/>
          <w:color w:val="FF0000"/>
        </w:rPr>
      </w:pPr>
    </w:p>
    <w:p w:rsidR="00D664AE" w:rsidRDefault="00272EAB" w:rsidP="00D664AE">
      <w:pPr>
        <w:tabs>
          <w:tab w:val="left" w:pos="3686"/>
        </w:tabs>
        <w:jc w:val="center"/>
        <w:rPr>
          <w:rFonts w:ascii="Arial" w:hAnsi="Arial" w:cs="Arial"/>
          <w:b/>
        </w:rPr>
      </w:pPr>
      <w:r>
        <w:rPr>
          <w:rFonts w:ascii="Arial" w:eastAsia="Calibri" w:hAnsi="Arial" w:cs="Arial"/>
          <w:bCs/>
        </w:rPr>
        <w:pict>
          <v:rect id="_x0000_i1026" style="width:181.9pt;height:.05pt" o:hrpct="401" o:hralign="center" o:hrstd="t" o:hr="t" fillcolor="#a0a0a0" stroked="f"/>
        </w:pict>
      </w:r>
    </w:p>
    <w:p w:rsidR="00D664AE" w:rsidRPr="00B63900" w:rsidRDefault="00624B6C" w:rsidP="00D664AE">
      <w:pPr>
        <w:tabs>
          <w:tab w:val="left" w:pos="3686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Supervisor</w:t>
      </w:r>
    </w:p>
    <w:p w:rsidR="00D664AE" w:rsidRDefault="00D664AE" w:rsidP="00401A49">
      <w:pPr>
        <w:spacing w:after="0" w:line="360" w:lineRule="auto"/>
        <w:jc w:val="both"/>
        <w:rPr>
          <w:rFonts w:ascii="Ecofont Vera Sans" w:hAnsi="Ecofont Vera Sans"/>
          <w:sz w:val="20"/>
          <w:szCs w:val="20"/>
        </w:rPr>
      </w:pPr>
    </w:p>
    <w:sectPr w:rsidR="00D664AE" w:rsidSect="00D664AE">
      <w:headerReference w:type="default" r:id="rId8"/>
      <w:footerReference w:type="default" r:id="rId9"/>
      <w:pgSz w:w="11906" w:h="16838"/>
      <w:pgMar w:top="1701" w:right="1133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2F15" w:rsidRDefault="00672F15" w:rsidP="00902C2B">
      <w:pPr>
        <w:spacing w:after="0" w:line="240" w:lineRule="auto"/>
      </w:pPr>
      <w:r>
        <w:separator/>
      </w:r>
    </w:p>
  </w:endnote>
  <w:endnote w:type="continuationSeparator" w:id="0">
    <w:p w:rsidR="00672F15" w:rsidRDefault="00672F15" w:rsidP="00902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 Vera 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64AE" w:rsidRPr="00DD349A" w:rsidRDefault="00D664AE" w:rsidP="00D664AE">
    <w:pPr>
      <w:pStyle w:val="Rodap"/>
      <w:pBdr>
        <w:top w:val="single" w:sz="4" w:space="1" w:color="BFBFBF"/>
      </w:pBdr>
      <w:jc w:val="right"/>
      <w:rPr>
        <w:rFonts w:ascii="Arial" w:hAnsi="Arial" w:cs="Arial"/>
        <w:b/>
        <w:sz w:val="16"/>
      </w:rPr>
    </w:pPr>
    <w:r w:rsidRPr="00DD349A">
      <w:rPr>
        <w:rFonts w:ascii="Arial" w:hAnsi="Arial" w:cs="Arial"/>
        <w:b/>
        <w:sz w:val="16"/>
      </w:rPr>
      <w:t xml:space="preserve">Av. Ubirajara </w:t>
    </w:r>
    <w:proofErr w:type="spellStart"/>
    <w:r w:rsidRPr="00DD349A">
      <w:rPr>
        <w:rFonts w:ascii="Arial" w:hAnsi="Arial" w:cs="Arial"/>
        <w:b/>
        <w:sz w:val="16"/>
      </w:rPr>
      <w:t>Berocan</w:t>
    </w:r>
    <w:proofErr w:type="spellEnd"/>
    <w:r w:rsidRPr="00DD349A">
      <w:rPr>
        <w:rFonts w:ascii="Arial" w:hAnsi="Arial" w:cs="Arial"/>
        <w:b/>
        <w:sz w:val="16"/>
      </w:rPr>
      <w:t xml:space="preserve"> Leite, nº 640 Setor Jaó – Goiânia - Goiás – CEP: 74.674-015                                Pág. </w:t>
    </w:r>
    <w:r w:rsidRPr="00DD349A">
      <w:rPr>
        <w:rFonts w:ascii="Arial" w:hAnsi="Arial" w:cs="Arial"/>
        <w:b/>
        <w:sz w:val="16"/>
      </w:rPr>
      <w:fldChar w:fldCharType="begin"/>
    </w:r>
    <w:r w:rsidRPr="00DD349A">
      <w:rPr>
        <w:rFonts w:ascii="Arial" w:hAnsi="Arial" w:cs="Arial"/>
        <w:b/>
        <w:sz w:val="16"/>
      </w:rPr>
      <w:instrText>PAGE  \* Arabic  \* MERGEFORMAT</w:instrText>
    </w:r>
    <w:r w:rsidRPr="00DD349A">
      <w:rPr>
        <w:rFonts w:ascii="Arial" w:hAnsi="Arial" w:cs="Arial"/>
        <w:b/>
        <w:sz w:val="16"/>
      </w:rPr>
      <w:fldChar w:fldCharType="separate"/>
    </w:r>
    <w:r>
      <w:rPr>
        <w:rFonts w:ascii="Arial" w:hAnsi="Arial" w:cs="Arial"/>
        <w:b/>
        <w:sz w:val="16"/>
      </w:rPr>
      <w:t>1</w:t>
    </w:r>
    <w:r w:rsidRPr="00DD349A">
      <w:rPr>
        <w:rFonts w:ascii="Arial" w:hAnsi="Arial" w:cs="Arial"/>
        <w:b/>
        <w:sz w:val="16"/>
      </w:rPr>
      <w:fldChar w:fldCharType="end"/>
    </w:r>
    <w:r w:rsidRPr="00DD349A">
      <w:rPr>
        <w:rFonts w:ascii="Arial" w:hAnsi="Arial" w:cs="Arial"/>
        <w:b/>
        <w:sz w:val="16"/>
      </w:rPr>
      <w:t>/</w:t>
    </w:r>
    <w:r w:rsidRPr="00DD349A">
      <w:rPr>
        <w:rFonts w:ascii="Arial" w:hAnsi="Arial" w:cs="Arial"/>
        <w:b/>
        <w:sz w:val="16"/>
      </w:rPr>
      <w:fldChar w:fldCharType="begin"/>
    </w:r>
    <w:r w:rsidRPr="00DD349A">
      <w:rPr>
        <w:rFonts w:ascii="Arial" w:hAnsi="Arial" w:cs="Arial"/>
        <w:b/>
        <w:sz w:val="16"/>
      </w:rPr>
      <w:instrText>NUMPAGES \ * Arábico \ * MERGEFORMAT</w:instrText>
    </w:r>
    <w:r w:rsidRPr="00DD349A">
      <w:rPr>
        <w:rFonts w:ascii="Arial" w:hAnsi="Arial" w:cs="Arial"/>
        <w:b/>
        <w:sz w:val="16"/>
      </w:rPr>
      <w:fldChar w:fldCharType="separate"/>
    </w:r>
    <w:r>
      <w:rPr>
        <w:rFonts w:ascii="Arial" w:hAnsi="Arial" w:cs="Arial"/>
        <w:b/>
        <w:sz w:val="16"/>
      </w:rPr>
      <w:t>1</w:t>
    </w:r>
    <w:r w:rsidRPr="00DD349A">
      <w:rPr>
        <w:rFonts w:ascii="Arial" w:hAnsi="Arial" w:cs="Arial"/>
        <w:b/>
        <w:sz w:val="16"/>
      </w:rPr>
      <w:fldChar w:fldCharType="end"/>
    </w:r>
  </w:p>
  <w:p w:rsidR="00D664AE" w:rsidRPr="00DD349A" w:rsidRDefault="00D664AE" w:rsidP="00D664AE">
    <w:pPr>
      <w:pStyle w:val="Rodap"/>
      <w:jc w:val="center"/>
      <w:rPr>
        <w:rFonts w:ascii="Arial" w:hAnsi="Arial" w:cs="Arial"/>
      </w:rPr>
    </w:pPr>
    <w:r w:rsidRPr="00DD349A">
      <w:rPr>
        <w:rFonts w:ascii="Arial" w:hAnsi="Arial" w:cs="Arial"/>
        <w:b/>
        <w:sz w:val="16"/>
      </w:rPr>
      <w:t>Telefone/PABX: (62) 3228-2000 – www.tce.go.gov.br</w:t>
    </w:r>
  </w:p>
  <w:p w:rsidR="00D664AE" w:rsidRDefault="00D664A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2F15" w:rsidRDefault="00672F15" w:rsidP="00902C2B">
      <w:pPr>
        <w:spacing w:after="0" w:line="240" w:lineRule="auto"/>
      </w:pPr>
      <w:r>
        <w:separator/>
      </w:r>
    </w:p>
  </w:footnote>
  <w:footnote w:type="continuationSeparator" w:id="0">
    <w:p w:rsidR="00672F15" w:rsidRDefault="00672F15" w:rsidP="00902C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Look w:val="04A0" w:firstRow="1" w:lastRow="0" w:firstColumn="1" w:lastColumn="0" w:noHBand="0" w:noVBand="1"/>
    </w:tblPr>
    <w:tblGrid>
      <w:gridCol w:w="2881"/>
      <w:gridCol w:w="6191"/>
    </w:tblGrid>
    <w:tr w:rsidR="00D664AE" w:rsidTr="00422C0D">
      <w:trPr>
        <w:trHeight w:val="855"/>
      </w:trPr>
      <w:tc>
        <w:tcPr>
          <w:tcW w:w="2881" w:type="dxa"/>
          <w:shd w:val="clear" w:color="auto" w:fill="auto"/>
        </w:tcPr>
        <w:p w:rsidR="00D664AE" w:rsidRPr="008D74C5" w:rsidRDefault="00272EAB" w:rsidP="00D664AE">
          <w:pPr>
            <w:pStyle w:val="Cabealho"/>
            <w:ind w:left="-567" w:firstLine="567"/>
            <w:rPr>
              <w:rFonts w:ascii="Calibri" w:hAnsi="Calibri" w:cs="Mangal"/>
            </w:rPr>
          </w:pPr>
          <w:bookmarkStart w:id="2" w:name="_Hlk514242469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6B161E0D" wp14:editId="4A8BC166">
                <wp:simplePos x="0" y="0"/>
                <wp:positionH relativeFrom="column">
                  <wp:posOffset>0</wp:posOffset>
                </wp:positionH>
                <wp:positionV relativeFrom="paragraph">
                  <wp:posOffset>4445</wp:posOffset>
                </wp:positionV>
                <wp:extent cx="1164566" cy="718401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8370" cy="7330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191" w:type="dxa"/>
          <w:tcBorders>
            <w:bottom w:val="single" w:sz="4" w:space="0" w:color="BFBFBF"/>
          </w:tcBorders>
          <w:shd w:val="clear" w:color="auto" w:fill="auto"/>
          <w:vAlign w:val="center"/>
        </w:tcPr>
        <w:p w:rsidR="00D664AE" w:rsidRPr="008D74C5" w:rsidRDefault="00D664AE" w:rsidP="00D664AE">
          <w:pPr>
            <w:pStyle w:val="Cabealho"/>
            <w:jc w:val="center"/>
            <w:rPr>
              <w:rFonts w:ascii="Arial" w:hAnsi="Arial" w:cs="Arial"/>
              <w:sz w:val="28"/>
              <w:szCs w:val="32"/>
            </w:rPr>
          </w:pPr>
          <w:r w:rsidRPr="008D74C5">
            <w:rPr>
              <w:rFonts w:ascii="Arial" w:hAnsi="Arial" w:cs="Arial"/>
              <w:sz w:val="28"/>
              <w:szCs w:val="32"/>
            </w:rPr>
            <w:t>Tribunal de Contas do Estado de Goiás</w:t>
          </w:r>
        </w:p>
        <w:p w:rsidR="00D664AE" w:rsidRPr="008D74C5" w:rsidRDefault="00D664AE" w:rsidP="00D664AE">
          <w:pPr>
            <w:pStyle w:val="Cabealho"/>
            <w:jc w:val="center"/>
            <w:rPr>
              <w:rFonts w:ascii="Arial" w:hAnsi="Arial" w:cs="Arial"/>
            </w:rPr>
          </w:pPr>
        </w:p>
        <w:p w:rsidR="00D664AE" w:rsidRPr="0002034A" w:rsidRDefault="0002034A" w:rsidP="00D664AE">
          <w:pPr>
            <w:pStyle w:val="Cabealho"/>
            <w:jc w:val="center"/>
            <w:rPr>
              <w:rFonts w:ascii="Arial" w:hAnsi="Arial" w:cs="Arial"/>
            </w:rPr>
          </w:pPr>
          <w:r w:rsidRPr="0002034A">
            <w:rPr>
              <w:rFonts w:ascii="Arial" w:hAnsi="Arial" w:cs="Arial"/>
            </w:rPr>
            <w:t>Secretaria de Controle Externo</w:t>
          </w:r>
        </w:p>
        <w:p w:rsidR="0002034A" w:rsidRPr="008D74C5" w:rsidRDefault="0002034A" w:rsidP="00D664AE">
          <w:pPr>
            <w:pStyle w:val="Cabealho"/>
            <w:jc w:val="center"/>
            <w:rPr>
              <w:rFonts w:ascii="Calibri" w:hAnsi="Calibri" w:cs="Mangal"/>
            </w:rPr>
          </w:pPr>
          <w:r w:rsidRPr="0002034A">
            <w:rPr>
              <w:rFonts w:ascii="Arial" w:hAnsi="Arial" w:cs="Arial"/>
            </w:rPr>
            <w:t>Serviço de Avaliação e Inovação em Políticas Públicas</w:t>
          </w:r>
          <w:r w:rsidRPr="0002034A">
            <w:rPr>
              <w:rFonts w:ascii="Calibri" w:hAnsi="Calibri" w:cs="Mangal"/>
            </w:rPr>
            <w:t xml:space="preserve"> </w:t>
          </w:r>
        </w:p>
      </w:tc>
    </w:tr>
    <w:bookmarkEnd w:id="2"/>
  </w:tbl>
  <w:p w:rsidR="00D664AE" w:rsidRPr="00962A06" w:rsidRDefault="00D664AE" w:rsidP="00D664A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B83FB5"/>
    <w:multiLevelType w:val="hybridMultilevel"/>
    <w:tmpl w:val="434AFEA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443D19"/>
    <w:multiLevelType w:val="hybridMultilevel"/>
    <w:tmpl w:val="4508D0F8"/>
    <w:lvl w:ilvl="0" w:tplc="180CDAE0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521F3508"/>
    <w:multiLevelType w:val="hybridMultilevel"/>
    <w:tmpl w:val="39BC5E86"/>
    <w:lvl w:ilvl="0" w:tplc="E2EC2AA4">
      <w:start w:val="1"/>
      <w:numFmt w:val="decimal"/>
      <w:lvlText w:val="%1."/>
      <w:lvlJc w:val="left"/>
      <w:pPr>
        <w:ind w:left="155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74" w:hanging="360"/>
      </w:pPr>
    </w:lvl>
    <w:lvl w:ilvl="2" w:tplc="0416001B" w:tentative="1">
      <w:start w:val="1"/>
      <w:numFmt w:val="lowerRoman"/>
      <w:lvlText w:val="%3."/>
      <w:lvlJc w:val="right"/>
      <w:pPr>
        <w:ind w:left="2994" w:hanging="180"/>
      </w:pPr>
    </w:lvl>
    <w:lvl w:ilvl="3" w:tplc="0416000F" w:tentative="1">
      <w:start w:val="1"/>
      <w:numFmt w:val="decimal"/>
      <w:lvlText w:val="%4."/>
      <w:lvlJc w:val="left"/>
      <w:pPr>
        <w:ind w:left="3714" w:hanging="360"/>
      </w:pPr>
    </w:lvl>
    <w:lvl w:ilvl="4" w:tplc="04160019" w:tentative="1">
      <w:start w:val="1"/>
      <w:numFmt w:val="lowerLetter"/>
      <w:lvlText w:val="%5."/>
      <w:lvlJc w:val="left"/>
      <w:pPr>
        <w:ind w:left="4434" w:hanging="360"/>
      </w:pPr>
    </w:lvl>
    <w:lvl w:ilvl="5" w:tplc="0416001B" w:tentative="1">
      <w:start w:val="1"/>
      <w:numFmt w:val="lowerRoman"/>
      <w:lvlText w:val="%6."/>
      <w:lvlJc w:val="right"/>
      <w:pPr>
        <w:ind w:left="5154" w:hanging="180"/>
      </w:pPr>
    </w:lvl>
    <w:lvl w:ilvl="6" w:tplc="0416000F" w:tentative="1">
      <w:start w:val="1"/>
      <w:numFmt w:val="decimal"/>
      <w:lvlText w:val="%7."/>
      <w:lvlJc w:val="left"/>
      <w:pPr>
        <w:ind w:left="5874" w:hanging="360"/>
      </w:pPr>
    </w:lvl>
    <w:lvl w:ilvl="7" w:tplc="04160019" w:tentative="1">
      <w:start w:val="1"/>
      <w:numFmt w:val="lowerLetter"/>
      <w:lvlText w:val="%8."/>
      <w:lvlJc w:val="left"/>
      <w:pPr>
        <w:ind w:left="6594" w:hanging="360"/>
      </w:pPr>
    </w:lvl>
    <w:lvl w:ilvl="8" w:tplc="0416001B" w:tentative="1">
      <w:start w:val="1"/>
      <w:numFmt w:val="lowerRoman"/>
      <w:lvlText w:val="%9."/>
      <w:lvlJc w:val="right"/>
      <w:pPr>
        <w:ind w:left="731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253"/>
    <w:rsid w:val="00004088"/>
    <w:rsid w:val="00004964"/>
    <w:rsid w:val="000117BA"/>
    <w:rsid w:val="0002034A"/>
    <w:rsid w:val="00032DC3"/>
    <w:rsid w:val="000331B0"/>
    <w:rsid w:val="00036230"/>
    <w:rsid w:val="00040B0D"/>
    <w:rsid w:val="000A33FA"/>
    <w:rsid w:val="000C5788"/>
    <w:rsid w:val="000C7473"/>
    <w:rsid w:val="000D54E0"/>
    <w:rsid w:val="000F01C1"/>
    <w:rsid w:val="0010062E"/>
    <w:rsid w:val="00100F44"/>
    <w:rsid w:val="001051BE"/>
    <w:rsid w:val="001205F5"/>
    <w:rsid w:val="00121057"/>
    <w:rsid w:val="00130483"/>
    <w:rsid w:val="001312B1"/>
    <w:rsid w:val="00132863"/>
    <w:rsid w:val="0015324A"/>
    <w:rsid w:val="00170284"/>
    <w:rsid w:val="001724B6"/>
    <w:rsid w:val="00174279"/>
    <w:rsid w:val="001769B8"/>
    <w:rsid w:val="00177A74"/>
    <w:rsid w:val="001836C7"/>
    <w:rsid w:val="0019146E"/>
    <w:rsid w:val="0019516B"/>
    <w:rsid w:val="0019754C"/>
    <w:rsid w:val="001A28B1"/>
    <w:rsid w:val="001A46B3"/>
    <w:rsid w:val="001B1A80"/>
    <w:rsid w:val="001D2E4E"/>
    <w:rsid w:val="001E14D5"/>
    <w:rsid w:val="001E74E8"/>
    <w:rsid w:val="00200F02"/>
    <w:rsid w:val="0020168A"/>
    <w:rsid w:val="002232A0"/>
    <w:rsid w:val="0023196B"/>
    <w:rsid w:val="002324D5"/>
    <w:rsid w:val="00235D51"/>
    <w:rsid w:val="00256D0C"/>
    <w:rsid w:val="00263056"/>
    <w:rsid w:val="0027176C"/>
    <w:rsid w:val="00272EAB"/>
    <w:rsid w:val="00280B75"/>
    <w:rsid w:val="00286621"/>
    <w:rsid w:val="00290758"/>
    <w:rsid w:val="002910E6"/>
    <w:rsid w:val="00293B76"/>
    <w:rsid w:val="002E5F64"/>
    <w:rsid w:val="002E6544"/>
    <w:rsid w:val="002E7BAD"/>
    <w:rsid w:val="002F37BF"/>
    <w:rsid w:val="002F4D90"/>
    <w:rsid w:val="002F6E4E"/>
    <w:rsid w:val="00346366"/>
    <w:rsid w:val="0036190F"/>
    <w:rsid w:val="00363C4D"/>
    <w:rsid w:val="00371474"/>
    <w:rsid w:val="00381549"/>
    <w:rsid w:val="00382F88"/>
    <w:rsid w:val="003835CA"/>
    <w:rsid w:val="0039631C"/>
    <w:rsid w:val="00397CFA"/>
    <w:rsid w:val="003C7857"/>
    <w:rsid w:val="003F0127"/>
    <w:rsid w:val="00401A49"/>
    <w:rsid w:val="00441CEB"/>
    <w:rsid w:val="004778EA"/>
    <w:rsid w:val="00482F8B"/>
    <w:rsid w:val="00483A1D"/>
    <w:rsid w:val="00484FEB"/>
    <w:rsid w:val="004B4474"/>
    <w:rsid w:val="004C0D03"/>
    <w:rsid w:val="004D0E6F"/>
    <w:rsid w:val="004E07CA"/>
    <w:rsid w:val="004E7DC4"/>
    <w:rsid w:val="004F44B9"/>
    <w:rsid w:val="004F5281"/>
    <w:rsid w:val="004F52A1"/>
    <w:rsid w:val="005047EC"/>
    <w:rsid w:val="0052592E"/>
    <w:rsid w:val="0053632D"/>
    <w:rsid w:val="00541385"/>
    <w:rsid w:val="0054688E"/>
    <w:rsid w:val="00555CFA"/>
    <w:rsid w:val="0059173D"/>
    <w:rsid w:val="005E3F47"/>
    <w:rsid w:val="005F7393"/>
    <w:rsid w:val="00604FBB"/>
    <w:rsid w:val="00624B6C"/>
    <w:rsid w:val="00627E8C"/>
    <w:rsid w:val="00630537"/>
    <w:rsid w:val="00631A6B"/>
    <w:rsid w:val="0064715B"/>
    <w:rsid w:val="00650FE8"/>
    <w:rsid w:val="006528EF"/>
    <w:rsid w:val="0066036D"/>
    <w:rsid w:val="00666861"/>
    <w:rsid w:val="00672F15"/>
    <w:rsid w:val="006967D2"/>
    <w:rsid w:val="006A0A69"/>
    <w:rsid w:val="006C1332"/>
    <w:rsid w:val="006C2AED"/>
    <w:rsid w:val="006E1AC4"/>
    <w:rsid w:val="006F09F1"/>
    <w:rsid w:val="007178A3"/>
    <w:rsid w:val="007200C2"/>
    <w:rsid w:val="007210FE"/>
    <w:rsid w:val="0074033F"/>
    <w:rsid w:val="00763286"/>
    <w:rsid w:val="007902B1"/>
    <w:rsid w:val="007B2397"/>
    <w:rsid w:val="007C0FC2"/>
    <w:rsid w:val="007D1220"/>
    <w:rsid w:val="007D13D3"/>
    <w:rsid w:val="007D7937"/>
    <w:rsid w:val="008417AB"/>
    <w:rsid w:val="00847196"/>
    <w:rsid w:val="008858A7"/>
    <w:rsid w:val="008B4F7C"/>
    <w:rsid w:val="008E049A"/>
    <w:rsid w:val="008E20F1"/>
    <w:rsid w:val="00902C2B"/>
    <w:rsid w:val="009245DC"/>
    <w:rsid w:val="0093379B"/>
    <w:rsid w:val="009348FC"/>
    <w:rsid w:val="00966874"/>
    <w:rsid w:val="00967043"/>
    <w:rsid w:val="009A46A6"/>
    <w:rsid w:val="009C61CA"/>
    <w:rsid w:val="009D0D71"/>
    <w:rsid w:val="009D0ED0"/>
    <w:rsid w:val="009D4406"/>
    <w:rsid w:val="009D7D5C"/>
    <w:rsid w:val="009E24A4"/>
    <w:rsid w:val="00A06A6C"/>
    <w:rsid w:val="00A10838"/>
    <w:rsid w:val="00A17716"/>
    <w:rsid w:val="00A42873"/>
    <w:rsid w:val="00A73F8A"/>
    <w:rsid w:val="00A84C02"/>
    <w:rsid w:val="00AA7DD3"/>
    <w:rsid w:val="00AC4A36"/>
    <w:rsid w:val="00AC7946"/>
    <w:rsid w:val="00AD3F02"/>
    <w:rsid w:val="00AE2FD8"/>
    <w:rsid w:val="00AE73EB"/>
    <w:rsid w:val="00AE7917"/>
    <w:rsid w:val="00AF112F"/>
    <w:rsid w:val="00B25B9B"/>
    <w:rsid w:val="00B26FB8"/>
    <w:rsid w:val="00B432CE"/>
    <w:rsid w:val="00B77615"/>
    <w:rsid w:val="00B84C39"/>
    <w:rsid w:val="00B84E87"/>
    <w:rsid w:val="00BA2D03"/>
    <w:rsid w:val="00BC46AE"/>
    <w:rsid w:val="00BC6355"/>
    <w:rsid w:val="00BC7FEC"/>
    <w:rsid w:val="00BE4613"/>
    <w:rsid w:val="00C27E66"/>
    <w:rsid w:val="00C50B2C"/>
    <w:rsid w:val="00C63882"/>
    <w:rsid w:val="00C65A2A"/>
    <w:rsid w:val="00C709C3"/>
    <w:rsid w:val="00C73210"/>
    <w:rsid w:val="00C8019A"/>
    <w:rsid w:val="00C80253"/>
    <w:rsid w:val="00C95AE7"/>
    <w:rsid w:val="00CA4E59"/>
    <w:rsid w:val="00CA5B2B"/>
    <w:rsid w:val="00CD1F05"/>
    <w:rsid w:val="00CF1E20"/>
    <w:rsid w:val="00D03009"/>
    <w:rsid w:val="00D1682E"/>
    <w:rsid w:val="00D27930"/>
    <w:rsid w:val="00D42B99"/>
    <w:rsid w:val="00D61B46"/>
    <w:rsid w:val="00D664AE"/>
    <w:rsid w:val="00D91607"/>
    <w:rsid w:val="00D942E0"/>
    <w:rsid w:val="00DA170A"/>
    <w:rsid w:val="00DC3980"/>
    <w:rsid w:val="00DD3B30"/>
    <w:rsid w:val="00DE1361"/>
    <w:rsid w:val="00DF3C9D"/>
    <w:rsid w:val="00E02174"/>
    <w:rsid w:val="00E02AFD"/>
    <w:rsid w:val="00E509A8"/>
    <w:rsid w:val="00E70968"/>
    <w:rsid w:val="00EC0289"/>
    <w:rsid w:val="00EC140C"/>
    <w:rsid w:val="00EC3A81"/>
    <w:rsid w:val="00EF76B2"/>
    <w:rsid w:val="00F03267"/>
    <w:rsid w:val="00F10C28"/>
    <w:rsid w:val="00F4297B"/>
    <w:rsid w:val="00F503E3"/>
    <w:rsid w:val="00F93990"/>
    <w:rsid w:val="00F9476F"/>
    <w:rsid w:val="00FA4A95"/>
    <w:rsid w:val="00FB5347"/>
    <w:rsid w:val="00FC21BE"/>
    <w:rsid w:val="00FE6264"/>
    <w:rsid w:val="00FF29BD"/>
    <w:rsid w:val="00FF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5F559AD-6AD7-43B3-8638-9AF7BBD4E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902C2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02C2B"/>
  </w:style>
  <w:style w:type="paragraph" w:styleId="Rodap">
    <w:name w:val="footer"/>
    <w:basedOn w:val="Normal"/>
    <w:link w:val="RodapChar"/>
    <w:uiPriority w:val="99"/>
    <w:unhideWhenUsed/>
    <w:rsid w:val="00902C2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02C2B"/>
  </w:style>
  <w:style w:type="paragraph" w:customStyle="1" w:styleId="Normal0">
    <w:name w:val="[Normal]"/>
    <w:uiPriority w:val="99"/>
    <w:rsid w:val="00902C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2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2C2B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1E14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E1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3835CA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2910E6"/>
    <w:rPr>
      <w:color w:val="0000FF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401A4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1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38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1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24858-D03D-4DC7-A5A2-A3EB66496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221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de Fatima Rosa Dias</dc:creator>
  <cp:lastModifiedBy>Andrea Calixto Abdalla Ribeiro</cp:lastModifiedBy>
  <cp:revision>6</cp:revision>
  <cp:lastPrinted>2018-03-26T18:34:00Z</cp:lastPrinted>
  <dcterms:created xsi:type="dcterms:W3CDTF">2024-10-04T19:28:00Z</dcterms:created>
  <dcterms:modified xsi:type="dcterms:W3CDTF">2025-08-04T13:05:00Z</dcterms:modified>
</cp:coreProperties>
</file>